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AF" w:rsidRDefault="00AE0FAF" w:rsidP="00AE0FAF">
      <w:pPr>
        <w:pStyle w:val="NoSpacing"/>
      </w:pPr>
      <w:r w:rsidRPr="0037089F">
        <w:rPr>
          <w:b/>
          <w:u w:val="single"/>
        </w:rPr>
        <w:t>Speedometer (Wired &amp; Wireless)</w:t>
      </w:r>
      <w:r>
        <w:t xml:space="preserve"> –</w:t>
      </w:r>
    </w:p>
    <w:p w:rsidR="00AE0FAF" w:rsidRDefault="00AE0FAF" w:rsidP="00AE0FAF">
      <w:pPr>
        <w:pStyle w:val="NoSpacing"/>
      </w:pPr>
      <w:r>
        <w:t>Speedometers are instruments that allows cyclists to track their speed goals and distances covered by them. Speedometer uses magnets &amp; sensor mechanism to display real time cycle speed while cycling. Wireless speedometer receives signals from the sensors over short-range frequency to display cycle speed while cycling.</w:t>
      </w:r>
    </w:p>
    <w:p w:rsidR="00AE0FAF" w:rsidRDefault="00AE0FAF" w:rsidP="00AE0FAF">
      <w:pPr>
        <w:pStyle w:val="NoSpacing"/>
      </w:pPr>
    </w:p>
    <w:p w:rsidR="00AE0FAF" w:rsidRDefault="00AE0FAF" w:rsidP="00AE0FAF">
      <w:pPr>
        <w:pStyle w:val="NoSpacing"/>
      </w:pPr>
      <w:r>
        <w:t xml:space="preserve">A speedometer will be classified under </w:t>
      </w:r>
      <w:r w:rsidRPr="00554056">
        <w:t>9029</w:t>
      </w:r>
      <w:r>
        <w:t>(</w:t>
      </w:r>
      <w:r w:rsidRPr="00554056">
        <w:t>2090</w:t>
      </w:r>
      <w:r>
        <w:t>)</w:t>
      </w:r>
    </w:p>
    <w:p w:rsidR="00AE0FAF" w:rsidRDefault="00AE0FAF" w:rsidP="00AE0FAF">
      <w:pPr>
        <w:pStyle w:val="NoSpacing"/>
      </w:pPr>
      <w:r>
        <w:tab/>
        <w:t>“</w:t>
      </w:r>
      <w:r w:rsidRPr="00554056">
        <w:rPr>
          <w:i/>
        </w:rPr>
        <w:t>Speed indicators and tachometers; stroboscopes: Other</w:t>
      </w:r>
      <w:r>
        <w:t>”</w:t>
      </w:r>
    </w:p>
    <w:p w:rsidR="00AE0FAF" w:rsidRDefault="00AE0FAF" w:rsidP="00AE0FAF">
      <w:pPr>
        <w:pStyle w:val="NoSpacing"/>
      </w:pPr>
    </w:p>
    <w:p w:rsidR="00AE0FAF" w:rsidRDefault="00AE0FAF" w:rsidP="00AE0FAF">
      <w:pPr>
        <w:pStyle w:val="NoSpacing"/>
        <w:rPr>
          <w:b/>
        </w:rPr>
      </w:pPr>
      <w:r>
        <w:tab/>
      </w:r>
      <w:r w:rsidRPr="00815517">
        <w:rPr>
          <w:b/>
        </w:rPr>
        <w:t>Basic Duty Tariff associated with HS Code 9029</w:t>
      </w:r>
      <w:r>
        <w:rPr>
          <w:b/>
        </w:rPr>
        <w:t>(2090)</w:t>
      </w:r>
      <w:r w:rsidRPr="00815517">
        <w:rPr>
          <w:b/>
        </w:rPr>
        <w:t xml:space="preserve"> is 7.5%</w:t>
      </w:r>
    </w:p>
    <w:p w:rsidR="00AE0FAF" w:rsidRDefault="00AE0FAF" w:rsidP="00AE0FAF">
      <w:pPr>
        <w:pStyle w:val="NoSpacing"/>
        <w:rPr>
          <w:b/>
        </w:rPr>
      </w:pPr>
    </w:p>
    <w:p w:rsidR="00AE0FAF" w:rsidRDefault="00AE0FAF" w:rsidP="00AE0FAF">
      <w:pPr>
        <w:pStyle w:val="NoSpacing"/>
        <w:ind w:left="720"/>
      </w:pPr>
      <w:r w:rsidRPr="00815517">
        <w:t xml:space="preserve">There are no Non-Tariff Barriers (NTBs), i.e., there are no other regulatory compliances to be met in order to import </w:t>
      </w:r>
      <w:r>
        <w:t>Wired Speedometers</w:t>
      </w:r>
      <w:r w:rsidRPr="00815517">
        <w:t>.</w:t>
      </w:r>
      <w:r>
        <w:t xml:space="preserve"> Import of Wired Speedometers is thus “free”</w:t>
      </w:r>
    </w:p>
    <w:p w:rsidR="00AE0FAF" w:rsidRDefault="00AE0FAF" w:rsidP="00AE0FAF">
      <w:pPr>
        <w:pStyle w:val="NoSpacing"/>
        <w:ind w:left="720"/>
      </w:pPr>
    </w:p>
    <w:p w:rsidR="00AE0FAF" w:rsidRPr="00667ECC" w:rsidRDefault="00AE0FAF" w:rsidP="00AE0FAF">
      <w:pPr>
        <w:pStyle w:val="NoSpacing"/>
        <w:ind w:left="720"/>
        <w:rPr>
          <w:b/>
        </w:rPr>
      </w:pPr>
      <w:r w:rsidRPr="00667ECC">
        <w:rPr>
          <w:b/>
        </w:rPr>
        <w:t>However Wireless Speedometers have Non-Tariff Barriers. Click here to know more.</w:t>
      </w:r>
    </w:p>
    <w:p w:rsidR="00AE0FAF" w:rsidRDefault="00AE0FAF" w:rsidP="00AE0FAF">
      <w:pPr>
        <w:pStyle w:val="NoSpacing"/>
        <w:ind w:left="720"/>
      </w:pPr>
    </w:p>
    <w:p w:rsidR="00AE0FAF" w:rsidRDefault="00AE0FAF" w:rsidP="00AE0FAF">
      <w:pPr>
        <w:pStyle w:val="Heading3"/>
      </w:pPr>
      <w:r>
        <w:tab/>
        <w:t>Regulations by Wireless Planning &amp; Coordination Wing, Ministry of Communication</w:t>
      </w:r>
    </w:p>
    <w:p w:rsidR="00AE0FAF" w:rsidRDefault="00AE0FAF" w:rsidP="00AE0FAF">
      <w:pPr>
        <w:pStyle w:val="NoSpacing"/>
        <w:ind w:left="720"/>
      </w:pPr>
    </w:p>
    <w:p w:rsidR="00AE0FAF" w:rsidRDefault="00AE0FAF" w:rsidP="00AE0FAF">
      <w:pPr>
        <w:pStyle w:val="NoSpacing"/>
        <w:ind w:left="720"/>
      </w:pPr>
      <w:r>
        <w:t>Since Wireless Speedometers includes wireless transmission of data (i.e. speed) by the sensors to the display unit – a special Equipment Type Approval (ETA) is required to be issued from Wireless Planning &amp; Coordination (WPC) Wing of Ministry of Communication &amp; Information Technology.</w:t>
      </w:r>
    </w:p>
    <w:p w:rsidR="00AE0FAF" w:rsidRDefault="00AE0FAF" w:rsidP="00AE0FAF">
      <w:pPr>
        <w:pStyle w:val="NoSpacing"/>
        <w:ind w:left="720"/>
      </w:pPr>
    </w:p>
    <w:p w:rsidR="0077779C" w:rsidRDefault="00AE0FAF" w:rsidP="00AE0FAF">
      <w:pPr>
        <w:pStyle w:val="NoSpacing"/>
        <w:ind w:left="720"/>
      </w:pPr>
      <w:bookmarkStart w:id="0" w:name="_GoBack"/>
      <w:r>
        <w:t>This ETA is obtained</w:t>
      </w:r>
      <w:r w:rsidR="0077779C">
        <w:t xml:space="preserve"> online</w:t>
      </w:r>
      <w:r>
        <w:t xml:space="preserve"> through self-declaration</w:t>
      </w:r>
      <w:r w:rsidR="0077779C">
        <w:t xml:space="preserve"> at </w:t>
      </w:r>
      <w:hyperlink r:id="rId5" w:history="1">
        <w:r w:rsidR="0077779C" w:rsidRPr="004851F7">
          <w:rPr>
            <w:rStyle w:val="Hyperlink"/>
          </w:rPr>
          <w:t>www.saralsanchar.gov.in</w:t>
        </w:r>
      </w:hyperlink>
      <w:r w:rsidR="0077779C">
        <w:t xml:space="preserve"> </w:t>
      </w:r>
      <w:r>
        <w:t xml:space="preserve"> for all Wireless Speedometers that operate in the de-licenced frequencies. ETA can be applied only if</w:t>
      </w:r>
    </w:p>
    <w:p w:rsidR="00AE0FAF" w:rsidRDefault="00AE0FAF" w:rsidP="0077779C">
      <w:pPr>
        <w:pStyle w:val="NoSpacing"/>
        <w:numPr>
          <w:ilvl w:val="0"/>
          <w:numId w:val="1"/>
        </w:numPr>
      </w:pPr>
      <w:r>
        <w:t xml:space="preserve"> </w:t>
      </w:r>
      <w:proofErr w:type="gramStart"/>
      <w:r>
        <w:t>supplier</w:t>
      </w:r>
      <w:proofErr w:type="gramEnd"/>
      <w:r>
        <w:t xml:space="preserve"> has tested the goods from International Laboratory Accreditation Cooperation (ILAC) recognized laboratory in product’s Country of Origin (COO), which is submitted in the application to the WPC.</w:t>
      </w:r>
    </w:p>
    <w:p w:rsidR="0077779C" w:rsidRDefault="0077779C" w:rsidP="0077779C">
      <w:pPr>
        <w:pStyle w:val="NoSpacing"/>
        <w:numPr>
          <w:ilvl w:val="0"/>
          <w:numId w:val="1"/>
        </w:numPr>
      </w:pPr>
      <w:r>
        <w:t>Manufacturer of wireless equipment has authorised the importer to apply on his behalf.</w:t>
      </w:r>
    </w:p>
    <w:p w:rsidR="0077779C" w:rsidRDefault="0077779C" w:rsidP="0077779C">
      <w:pPr>
        <w:pStyle w:val="NoSpacing"/>
        <w:numPr>
          <w:ilvl w:val="0"/>
          <w:numId w:val="1"/>
        </w:numPr>
      </w:pPr>
      <w:r>
        <w:t>Technical literature is provided</w:t>
      </w:r>
    </w:p>
    <w:p w:rsidR="0077779C" w:rsidRDefault="0077779C" w:rsidP="0077779C">
      <w:pPr>
        <w:pStyle w:val="NoSpacing"/>
        <w:numPr>
          <w:ilvl w:val="0"/>
          <w:numId w:val="1"/>
        </w:numPr>
      </w:pPr>
      <w:proofErr w:type="spellStart"/>
      <w:r>
        <w:t>Bharatkosh</w:t>
      </w:r>
      <w:proofErr w:type="spellEnd"/>
      <w:r>
        <w:t xml:space="preserve"> has been given the fee of </w:t>
      </w:r>
      <w:proofErr w:type="spellStart"/>
      <w:r>
        <w:t>rs</w:t>
      </w:r>
      <w:proofErr w:type="spellEnd"/>
      <w:r>
        <w:t>. 10000-00 online.</w:t>
      </w:r>
    </w:p>
    <w:bookmarkEnd w:id="0"/>
    <w:p w:rsidR="00AE0FAF" w:rsidRDefault="00AE0FAF" w:rsidP="00AE0FAF">
      <w:pPr>
        <w:pStyle w:val="NoSpacing"/>
        <w:ind w:left="720"/>
      </w:pPr>
    </w:p>
    <w:p w:rsidR="00AE0FAF" w:rsidRDefault="00AE0FAF" w:rsidP="00AE0FAF">
      <w:pPr>
        <w:pStyle w:val="NoSpacing"/>
        <w:ind w:left="720"/>
      </w:pPr>
      <w:r>
        <w:t>Separate ETA is required for separate products, make of the product, frequency bands, and means of communication – i.e., Bluetooth or radio waves or infrared, as per guidelines issued through Office Memorandum Dated 26/02/2019 of ETA-WPC/Policy/2018-19 as amended by R-11018/05/2019-PP 29.03.2019 and ETA-WPC/POLICY/2018-19 of 12.04.2019. A charge of INR 10,000/- is to be paid for each “ETA through Self-Declaration”.</w:t>
      </w:r>
    </w:p>
    <w:p w:rsidR="00AE0FAF" w:rsidRDefault="00AE0FAF" w:rsidP="00AE0FAF">
      <w:pPr>
        <w:pStyle w:val="NoSpacing"/>
        <w:ind w:left="720"/>
      </w:pPr>
    </w:p>
    <w:p w:rsidR="00AE0FAF" w:rsidRDefault="00AE0FAF" w:rsidP="00AE0FAF">
      <w:pPr>
        <w:pStyle w:val="NoSpacing"/>
        <w:ind w:left="720"/>
      </w:pPr>
      <w:r>
        <w:t>“ETA through Self-Declaration” is a one-time exercise and it can be used for all import consignments having the same model and frequency range once accepted by WPC.</w:t>
      </w:r>
    </w:p>
    <w:p w:rsidR="00AE0FAF" w:rsidRDefault="00AE0FAF" w:rsidP="00AE0FAF">
      <w:pPr>
        <w:pStyle w:val="NoSpacing"/>
        <w:ind w:left="720"/>
      </w:pPr>
    </w:p>
    <w:p w:rsidR="00AE0FAF" w:rsidRDefault="00AE0FAF" w:rsidP="00AE0FAF">
      <w:pPr>
        <w:pStyle w:val="NoSpacing"/>
        <w:ind w:left="720"/>
      </w:pPr>
      <w:r>
        <w:t>Licence exempted frequency bands are generally short range bands (within 1 km) for products to operate within its own personal network space. These have very low output power and thus does not impact the user or other networks in its vicinity in significant way.</w:t>
      </w:r>
    </w:p>
    <w:p w:rsidR="00AE0FAF" w:rsidRDefault="00AE0FAF" w:rsidP="00AE0FAF">
      <w:pPr>
        <w:pStyle w:val="NoSpacing"/>
        <w:ind w:left="720"/>
      </w:pPr>
    </w:p>
    <w:p w:rsidR="00AE0FAF" w:rsidRDefault="00AE0FAF" w:rsidP="00AE0FAF">
      <w:pPr>
        <w:pStyle w:val="NoSpacing"/>
        <w:ind w:left="720"/>
      </w:pPr>
      <w:r w:rsidRPr="0036694C">
        <w:rPr>
          <w:rStyle w:val="Heading4Char"/>
        </w:rPr>
        <w:t>Note</w:t>
      </w:r>
      <w:r>
        <w:t xml:space="preserve"> – Regulations by Indian Legal Metrology Act assigning rules for imported products in accordance to its character of “measurements” is not applicable to this product. Chapter 2 of </w:t>
      </w:r>
      <w:r>
        <w:lastRenderedPageBreak/>
        <w:t>the act does not cover “speed” as base unit of measurement. Speedometers also do not fall under the term “measure” of Legal Metrology Act. Hence Legal Metrology Act is not applicable to Speedometers.</w:t>
      </w:r>
    </w:p>
    <w:p w:rsidR="0052612E" w:rsidRDefault="0052612E"/>
    <w:sectPr w:rsidR="00526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24873"/>
    <w:multiLevelType w:val="hybridMultilevel"/>
    <w:tmpl w:val="DCB0DFD0"/>
    <w:lvl w:ilvl="0" w:tplc="95B4B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5B"/>
    <w:rsid w:val="0037205B"/>
    <w:rsid w:val="0052612E"/>
    <w:rsid w:val="0077779C"/>
    <w:rsid w:val="00AE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B4F18-4144-4A64-B7DC-A8CB936D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AE0FAF"/>
    <w:pPr>
      <w:keepNext/>
      <w:keepLines/>
      <w:spacing w:before="40" w:after="0"/>
      <w:outlineLvl w:val="2"/>
    </w:pPr>
    <w:rPr>
      <w:rFonts w:asciiTheme="majorHAnsi" w:eastAsiaTheme="majorEastAsia" w:hAnsiTheme="majorHAnsi" w:cstheme="majorBidi"/>
      <w:color w:val="1F4D78" w:themeColor="accent1" w:themeShade="7F"/>
      <w:sz w:val="24"/>
      <w:szCs w:val="24"/>
      <w:lang w:val="en-IN"/>
    </w:rPr>
  </w:style>
  <w:style w:type="paragraph" w:styleId="Heading4">
    <w:name w:val="heading 4"/>
    <w:basedOn w:val="Normal"/>
    <w:next w:val="Normal"/>
    <w:link w:val="Heading4Char"/>
    <w:uiPriority w:val="9"/>
    <w:unhideWhenUsed/>
    <w:qFormat/>
    <w:rsid w:val="00AE0FAF"/>
    <w:pPr>
      <w:keepNext/>
      <w:keepLines/>
      <w:spacing w:before="40" w:after="0"/>
      <w:outlineLvl w:val="3"/>
    </w:pPr>
    <w:rPr>
      <w:rFonts w:asciiTheme="majorHAnsi" w:eastAsiaTheme="majorEastAsia" w:hAnsiTheme="majorHAnsi" w:cstheme="majorBidi"/>
      <w:i/>
      <w:iCs/>
      <w:color w:val="2E74B5"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0FAF"/>
    <w:pPr>
      <w:spacing w:after="0" w:line="240" w:lineRule="auto"/>
    </w:pPr>
    <w:rPr>
      <w:lang w:val="en-IN"/>
    </w:rPr>
  </w:style>
  <w:style w:type="character" w:customStyle="1" w:styleId="Heading3Char">
    <w:name w:val="Heading 3 Char"/>
    <w:basedOn w:val="DefaultParagraphFont"/>
    <w:link w:val="Heading3"/>
    <w:uiPriority w:val="9"/>
    <w:rsid w:val="00AE0FAF"/>
    <w:rPr>
      <w:rFonts w:asciiTheme="majorHAnsi" w:eastAsiaTheme="majorEastAsia" w:hAnsiTheme="majorHAnsi" w:cstheme="majorBidi"/>
      <w:color w:val="1F4D78" w:themeColor="accent1" w:themeShade="7F"/>
      <w:sz w:val="24"/>
      <w:szCs w:val="24"/>
      <w:lang w:val="en-IN"/>
    </w:rPr>
  </w:style>
  <w:style w:type="character" w:customStyle="1" w:styleId="Heading4Char">
    <w:name w:val="Heading 4 Char"/>
    <w:basedOn w:val="DefaultParagraphFont"/>
    <w:link w:val="Heading4"/>
    <w:uiPriority w:val="9"/>
    <w:rsid w:val="00AE0FAF"/>
    <w:rPr>
      <w:rFonts w:asciiTheme="majorHAnsi" w:eastAsiaTheme="majorEastAsia" w:hAnsiTheme="majorHAnsi" w:cstheme="majorBidi"/>
      <w:i/>
      <w:iCs/>
      <w:color w:val="2E74B5" w:themeColor="accent1" w:themeShade="BF"/>
      <w:lang w:val="en-IN"/>
    </w:rPr>
  </w:style>
  <w:style w:type="character" w:styleId="Hyperlink">
    <w:name w:val="Hyperlink"/>
    <w:basedOn w:val="DefaultParagraphFont"/>
    <w:uiPriority w:val="99"/>
    <w:unhideWhenUsed/>
    <w:rsid w:val="00777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ralsanchar.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2021-06-08T06:24:00Z</dcterms:created>
  <dcterms:modified xsi:type="dcterms:W3CDTF">2021-06-08T06:37:00Z</dcterms:modified>
</cp:coreProperties>
</file>